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val="0"/>
        <w:kinsoku/>
        <w:wordWrap/>
        <w:overflowPunct/>
        <w:topLinePunct w:val="0"/>
        <w:autoSpaceDE/>
        <w:autoSpaceDN/>
        <w:bidi w:val="0"/>
        <w:adjustRightInd/>
        <w:snapToGrid w:val="0"/>
        <w:ind w:left="0" w:leftChars="0" w:firstLine="0" w:firstLineChars="0"/>
        <w:textAlignment w:val="auto"/>
        <w:outlineLvl w:val="9"/>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w:t>
      </w:r>
    </w:p>
    <w:p>
      <w:pPr>
        <w:pStyle w:val="6"/>
        <w:keepNext w:val="0"/>
        <w:keepLines w:val="0"/>
        <w:pageBreakBefore w:val="0"/>
        <w:widowControl w:val="0"/>
        <w:kinsoku/>
        <w:wordWrap/>
        <w:overflowPunct/>
        <w:topLinePunct w:val="0"/>
        <w:autoSpaceDE/>
        <w:autoSpaceDN/>
        <w:bidi w:val="0"/>
        <w:adjustRightInd/>
        <w:snapToGrid/>
        <w:spacing w:after="292" w:afterLines="50" w:line="600" w:lineRule="exact"/>
        <w:ind w:left="0" w:leftChars="0" w:firstLine="0" w:firstLineChars="0"/>
        <w:jc w:val="center"/>
        <w:textAlignment w:val="auto"/>
        <w:outlineLvl w:val="9"/>
        <w:rPr>
          <w:rFonts w:hint="eastAsia" w:ascii="方正小标宋简体" w:hAnsi="方正小标宋简体" w:eastAsia="方正小标宋简体" w:cs="方正小标宋简体"/>
          <w:spacing w:val="-20"/>
          <w:sz w:val="44"/>
          <w:szCs w:val="44"/>
          <w:highlight w:val="none"/>
          <w:lang w:val="en-US" w:eastAsia="zh-CN"/>
        </w:rPr>
      </w:pPr>
      <w:r>
        <w:rPr>
          <w:rFonts w:hint="eastAsia" w:ascii="方正小标宋简体" w:hAnsi="方正小标宋简体" w:eastAsia="方正小标宋简体" w:cs="方正小标宋简体"/>
          <w:spacing w:val="-20"/>
          <w:sz w:val="44"/>
          <w:szCs w:val="44"/>
          <w:lang w:val="en-US" w:eastAsia="zh-CN"/>
        </w:rPr>
        <w:t>2023年</w:t>
      </w:r>
      <w:r>
        <w:rPr>
          <w:rFonts w:hint="eastAsia" w:ascii="方正小标宋简体" w:hAnsi="方正小标宋简体" w:eastAsia="方正小标宋简体" w:cs="方正小标宋简体"/>
          <w:spacing w:val="-20"/>
          <w:sz w:val="44"/>
          <w:szCs w:val="44"/>
          <w:highlight w:val="none"/>
          <w:lang w:val="en-US" w:eastAsia="zh-CN"/>
        </w:rPr>
        <w:t>崇明区人力资源和社会保障局全面深化“一网通办”和“放管服”改革任务分工表</w:t>
      </w:r>
      <w:bookmarkStart w:id="0" w:name="_GoBack"/>
      <w:bookmarkEnd w:id="0"/>
    </w:p>
    <w:tbl>
      <w:tblPr>
        <w:tblStyle w:val="5"/>
        <w:tblW w:w="10208" w:type="dxa"/>
        <w:tblInd w:w="-6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1348"/>
        <w:gridCol w:w="3812"/>
        <w:gridCol w:w="1620"/>
        <w:gridCol w:w="1335"/>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ascii="黑体" w:hAnsi="黑体" w:eastAsia="黑体" w:cs="黑体"/>
                <w:sz w:val="22"/>
                <w:szCs w:val="22"/>
                <w:highlight w:val="none"/>
                <w:vertAlign w:val="baseline"/>
                <w:lang w:val="en-US" w:eastAsia="zh-CN"/>
              </w:rPr>
            </w:pPr>
            <w:r>
              <w:rPr>
                <w:rFonts w:hint="eastAsia" w:ascii="黑体" w:hAnsi="黑体" w:eastAsia="黑体" w:cs="黑体"/>
                <w:sz w:val="22"/>
                <w:szCs w:val="22"/>
                <w:highlight w:val="none"/>
                <w:vertAlign w:val="baseline"/>
                <w:lang w:val="en-US" w:eastAsia="zh-CN"/>
              </w:rPr>
              <w:t>序号</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ascii="黑体" w:hAnsi="黑体" w:eastAsia="黑体" w:cs="黑体"/>
                <w:sz w:val="22"/>
                <w:szCs w:val="22"/>
                <w:highlight w:val="none"/>
                <w:vertAlign w:val="baseline"/>
                <w:lang w:val="en-US" w:eastAsia="zh-CN"/>
              </w:rPr>
            </w:pPr>
            <w:r>
              <w:rPr>
                <w:rFonts w:hint="eastAsia" w:ascii="黑体" w:hAnsi="黑体" w:eastAsia="黑体" w:cs="黑体"/>
                <w:sz w:val="22"/>
                <w:szCs w:val="22"/>
                <w:highlight w:val="none"/>
                <w:vertAlign w:val="baseline"/>
                <w:lang w:val="en-US" w:eastAsia="zh-CN"/>
              </w:rPr>
              <w:t>任务名称</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ascii="黑体" w:hAnsi="黑体" w:eastAsia="黑体" w:cs="黑体"/>
                <w:sz w:val="22"/>
                <w:szCs w:val="22"/>
                <w:highlight w:val="none"/>
                <w:vertAlign w:val="baseline"/>
                <w:lang w:val="en-US" w:eastAsia="zh-CN"/>
              </w:rPr>
            </w:pPr>
            <w:r>
              <w:rPr>
                <w:rFonts w:hint="eastAsia" w:ascii="黑体" w:hAnsi="黑体" w:eastAsia="黑体" w:cs="黑体"/>
                <w:sz w:val="22"/>
                <w:szCs w:val="22"/>
                <w:highlight w:val="none"/>
                <w:vertAlign w:val="baseline"/>
                <w:lang w:val="en-US" w:eastAsia="zh-CN"/>
              </w:rPr>
              <w:t>任务内容</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ascii="黑体" w:hAnsi="黑体" w:eastAsia="黑体" w:cs="黑体"/>
                <w:sz w:val="22"/>
                <w:szCs w:val="22"/>
                <w:highlight w:val="none"/>
                <w:vertAlign w:val="baseline"/>
                <w:lang w:val="en-US" w:eastAsia="zh-CN"/>
              </w:rPr>
            </w:pPr>
            <w:r>
              <w:rPr>
                <w:rFonts w:hint="eastAsia" w:ascii="黑体" w:hAnsi="黑体" w:eastAsia="黑体" w:cs="黑体"/>
                <w:sz w:val="22"/>
                <w:szCs w:val="22"/>
                <w:highlight w:val="none"/>
                <w:vertAlign w:val="baseline"/>
                <w:lang w:val="en-US" w:eastAsia="zh-CN"/>
              </w:rPr>
              <w:t>牵头科室</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ascii="黑体" w:hAnsi="黑体" w:eastAsia="黑体" w:cs="黑体"/>
                <w:sz w:val="22"/>
                <w:szCs w:val="22"/>
                <w:highlight w:val="none"/>
                <w:vertAlign w:val="baseline"/>
                <w:lang w:val="en-US" w:eastAsia="zh-CN"/>
              </w:rPr>
            </w:pPr>
            <w:r>
              <w:rPr>
                <w:rFonts w:hint="eastAsia" w:ascii="黑体" w:hAnsi="黑体" w:eastAsia="黑体" w:cs="黑体"/>
                <w:sz w:val="22"/>
                <w:szCs w:val="22"/>
                <w:highlight w:val="none"/>
                <w:vertAlign w:val="baseline"/>
                <w:lang w:val="en-US" w:eastAsia="zh-CN"/>
              </w:rPr>
              <w:t>责任科室</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ascii="黑体" w:hAnsi="黑体" w:eastAsia="黑体" w:cs="黑体"/>
                <w:sz w:val="22"/>
                <w:szCs w:val="22"/>
                <w:highlight w:val="none"/>
                <w:vertAlign w:val="baseline"/>
                <w:lang w:val="en-US" w:eastAsia="zh-CN"/>
              </w:rPr>
            </w:pPr>
            <w:r>
              <w:rPr>
                <w:rFonts w:hint="eastAsia" w:ascii="黑体" w:hAnsi="黑体" w:eastAsia="黑体" w:cs="黑体"/>
                <w:sz w:val="22"/>
                <w:szCs w:val="22"/>
                <w:highlight w:val="none"/>
                <w:vertAlign w:val="baseline"/>
                <w:lang w:val="en-US" w:eastAsia="zh-CN"/>
              </w:rPr>
              <w:t>时间节点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推进惠企利民政策“免审即享”</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崇明区生态养老补贴优化</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社会保障服务中心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10月底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崇明征地养老人员医疗费用报销</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10月底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着力政务服务事项“智慧好办”</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着力政务服务事项“智慧好办”</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档案材料的归档申请</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档案查（借）阅服务申请</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5</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档案的转接申请</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6</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集体合同审查（含企业工资集体协议审查备案）</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劳动关系科</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7</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劳务派遣年度经营情况报告</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8</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劳务派遣许可</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9</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企业实行其他工作时间审批</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社会保障科</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10</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依据档案记载出具相关证明申请</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办理《就业创业证》</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12</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持有《上海市居住证》人员申办本市常住户口审批</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人才服务中心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13</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国内人才引进审批</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14</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劳动用工备案</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15</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劳动者个人基本信息查询及维护</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16</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灵活就业登记</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17</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灵活就业人员办理社会保险登记参保</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18</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留学人员及其家属来户工作办理户口审批</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人才服务中心</w:t>
            </w:r>
          </w:p>
        </w:tc>
        <w:tc>
          <w:tcPr>
            <w:tcW w:w="135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19</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申请“就业困难人员”灵活就业社会保险费补贴</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20</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申请大龄失业就业岗位补贴</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p>
        </w:tc>
        <w:tc>
          <w:tcPr>
            <w:tcW w:w="135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21</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失业登记</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p>
        </w:tc>
        <w:tc>
          <w:tcPr>
            <w:tcW w:w="135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22</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失业人员申领失业保险</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市牵头</w:t>
            </w:r>
          </w:p>
        </w:tc>
        <w:tc>
          <w:tcPr>
            <w:tcW w:w="1335"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p>
        </w:tc>
        <w:tc>
          <w:tcPr>
            <w:tcW w:w="1350" w:type="dxa"/>
            <w:vAlign w:val="center"/>
          </w:tcPr>
          <w:p>
            <w:pPr>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23</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其他工作时间审批档案查询</w:t>
            </w:r>
          </w:p>
        </w:tc>
        <w:tc>
          <w:tcPr>
            <w:tcW w:w="1620"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ascii="Calibri" w:hAnsi="Calibri" w:eastAsia="仿宋_GB2312" w:cs="仿宋_GB2312"/>
                <w:kern w:val="2"/>
                <w:sz w:val="22"/>
                <w:szCs w:val="22"/>
                <w:highlight w:val="none"/>
                <w:vertAlign w:val="baseline"/>
                <w:lang w:val="en-US" w:eastAsia="zh-CN" w:bidi="ar-SA"/>
              </w:rPr>
              <w:t>社会保障科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社会保障科</w:t>
            </w:r>
          </w:p>
        </w:tc>
        <w:tc>
          <w:tcPr>
            <w:tcW w:w="135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24</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疫情防控援企稳岗（企业职工线上职业培训）（申请备案）</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25</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疫情防控援企稳岗（企业职工线上职业培训）（补贴申请）</w:t>
            </w:r>
          </w:p>
        </w:tc>
        <w:tc>
          <w:tcPr>
            <w:tcW w:w="162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ascii="仿宋_GB2312" w:hAnsi="仿宋_GB2312" w:eastAsia="仿宋_GB2312" w:cs="仿宋_GB2312"/>
                <w:kern w:val="2"/>
                <w:sz w:val="22"/>
                <w:szCs w:val="22"/>
                <w:highlight w:val="none"/>
                <w:vertAlign w:val="baseline"/>
                <w:lang w:val="en-US" w:eastAsia="zh-CN" w:bidi="ar-SA"/>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26</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推进“一件事”主题集成</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职业培训技能综合监管“一件事”</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Calibri" w:hAnsi="Calibri" w:eastAsia="仿宋_GB2312" w:cs="仿宋_GB2312"/>
                <w:kern w:val="2"/>
                <w:sz w:val="22"/>
                <w:szCs w:val="22"/>
                <w:highlight w:val="none"/>
                <w:vertAlign w:val="baseline"/>
                <w:lang w:val="en-US" w:eastAsia="zh-CN" w:bidi="ar-SA"/>
              </w:rPr>
            </w:pPr>
            <w:r>
              <w:rPr>
                <w:rFonts w:hint="eastAsia" w:ascii="Calibri" w:hAnsi="Calibri" w:eastAsia="仿宋_GB2312" w:cs="仿宋_GB2312"/>
                <w:kern w:val="2"/>
                <w:sz w:val="22"/>
                <w:szCs w:val="22"/>
                <w:highlight w:val="none"/>
                <w:vertAlign w:val="baseline"/>
                <w:lang w:val="en-US" w:eastAsia="zh-CN" w:bidi="ar-SA"/>
              </w:rPr>
              <w:t>市牵头</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就业培训科、就业促进中心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9月底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27</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事业单位人员管理“一件事”</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Calibri" w:hAnsi="Calibri" w:eastAsia="仿宋_GB2312" w:cs="仿宋_GB2312"/>
                <w:kern w:val="2"/>
                <w:sz w:val="22"/>
                <w:szCs w:val="22"/>
                <w:highlight w:val="none"/>
                <w:vertAlign w:val="baseline"/>
                <w:lang w:val="en-US" w:eastAsia="zh-CN" w:bidi="ar-SA"/>
              </w:rPr>
            </w:pPr>
            <w:r>
              <w:rPr>
                <w:rFonts w:hint="eastAsia" w:ascii="Calibri" w:hAnsi="Calibri" w:eastAsia="仿宋_GB2312" w:cs="仿宋_GB2312"/>
                <w:kern w:val="2"/>
                <w:sz w:val="22"/>
                <w:szCs w:val="22"/>
                <w:highlight w:val="none"/>
                <w:vertAlign w:val="baseline"/>
                <w:lang w:val="en-US" w:eastAsia="zh-CN" w:bidi="ar-SA"/>
              </w:rPr>
              <w:t>市牵头</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事业单位管理科</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9月底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28</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开办劳务派遣公司“一件事”优化</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ascii="Calibri" w:hAnsi="Calibri" w:eastAsia="仿宋_GB2312" w:cs="仿宋_GB2312"/>
                <w:kern w:val="2"/>
                <w:sz w:val="22"/>
                <w:szCs w:val="22"/>
                <w:highlight w:val="none"/>
                <w:vertAlign w:val="baseline"/>
                <w:lang w:val="en-US" w:eastAsia="zh-CN" w:bidi="ar-SA"/>
              </w:rPr>
            </w:pPr>
            <w:r>
              <w:rPr>
                <w:rFonts w:hint="eastAsia" w:ascii="Calibri" w:hAnsi="Calibri" w:eastAsia="仿宋_GB2312" w:cs="仿宋_GB2312"/>
                <w:kern w:val="2"/>
                <w:sz w:val="22"/>
                <w:szCs w:val="22"/>
                <w:highlight w:val="none"/>
                <w:vertAlign w:val="baseline"/>
                <w:lang w:val="en-US" w:eastAsia="zh-CN" w:bidi="ar-SA"/>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Calibri" w:hAnsi="Calibri" w:eastAsia="仿宋_GB2312" w:cs="仿宋_GB2312"/>
                <w:kern w:val="2"/>
                <w:sz w:val="22"/>
                <w:szCs w:val="22"/>
                <w:highlight w:val="none"/>
                <w:vertAlign w:val="baseline"/>
                <w:lang w:val="en-US" w:eastAsia="zh-CN" w:bidi="ar-SA"/>
              </w:rPr>
            </w:pPr>
            <w:r>
              <w:rPr>
                <w:rFonts w:hint="eastAsia" w:ascii="Calibri" w:hAnsi="Calibri" w:eastAsia="仿宋_GB2312" w:cs="仿宋_GB2312"/>
                <w:kern w:val="2"/>
                <w:sz w:val="22"/>
                <w:szCs w:val="22"/>
                <w:highlight w:val="none"/>
                <w:vertAlign w:val="baseline"/>
                <w:lang w:val="en-US" w:eastAsia="zh-CN" w:bidi="ar-SA"/>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劳动关系科</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9月底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29</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加强“两个免于提交”落地</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免交项目证照调用覆盖率不低于70%，调用比率不低于80%</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ascii="Calibri" w:hAnsi="Calibri" w:eastAsia="仿宋_GB2312" w:cs="仿宋_GB2312"/>
                <w:kern w:val="2"/>
                <w:sz w:val="22"/>
                <w:szCs w:val="22"/>
                <w:highlight w:val="none"/>
                <w:vertAlign w:val="baseline"/>
                <w:lang w:val="en-US" w:eastAsia="zh-CN" w:bidi="ar-SA"/>
              </w:rPr>
            </w:pPr>
            <w:r>
              <w:rPr>
                <w:rFonts w:hint="eastAsia" w:ascii="Calibri" w:hAnsi="Calibri" w:eastAsia="仿宋_GB2312" w:cs="仿宋_GB2312"/>
                <w:kern w:val="2"/>
                <w:sz w:val="22"/>
                <w:szCs w:val="22"/>
                <w:highlight w:val="none"/>
                <w:vertAlign w:val="baseline"/>
                <w:lang w:val="en-US" w:eastAsia="zh-CN" w:bidi="ar-SA"/>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ascii="Calibri" w:hAnsi="Calibri" w:eastAsia="仿宋_GB2312" w:cs="仿宋_GB2312"/>
                <w:kern w:val="2"/>
                <w:sz w:val="22"/>
                <w:szCs w:val="22"/>
                <w:highlight w:val="none"/>
                <w:vertAlign w:val="baseline"/>
                <w:lang w:val="en-US" w:eastAsia="zh-CN" w:bidi="ar-SA"/>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免交事项涉及科室及部门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11月底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30</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进一步加强“两个免于提交”宣传，深化窗口人员培训，将免交材料清单细化拆分到“一窗口一清单”，培养企业群众免交习惯</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ascii="Calibri" w:hAnsi="Calibri" w:eastAsia="仿宋_GB2312" w:cs="仿宋_GB2312"/>
                <w:kern w:val="2"/>
                <w:sz w:val="22"/>
                <w:szCs w:val="22"/>
                <w:highlight w:val="none"/>
                <w:vertAlign w:val="baseline"/>
                <w:lang w:val="en-US" w:eastAsia="zh-CN" w:bidi="ar-SA"/>
              </w:rPr>
            </w:pPr>
            <w:r>
              <w:rPr>
                <w:rFonts w:hint="eastAsia" w:ascii="Calibri" w:hAnsi="Calibri" w:eastAsia="仿宋_GB2312" w:cs="仿宋_GB2312"/>
                <w:kern w:val="2"/>
                <w:sz w:val="22"/>
                <w:szCs w:val="22"/>
                <w:highlight w:val="none"/>
                <w:vertAlign w:val="baseline"/>
                <w:lang w:val="en-US" w:eastAsia="zh-CN" w:bidi="ar-SA"/>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ascii="Calibri" w:hAnsi="Calibri" w:eastAsia="仿宋_GB2312" w:cs="仿宋_GB2312"/>
                <w:kern w:val="2"/>
                <w:sz w:val="22"/>
                <w:szCs w:val="22"/>
                <w:highlight w:val="none"/>
                <w:vertAlign w:val="baseline"/>
                <w:lang w:val="en-US" w:eastAsia="zh-CN" w:bidi="ar-SA"/>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1"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31</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推动审批服务协同优化</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强化行政许可清单管理，全面开展行政许可实施情况年度报告制度</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劳动关系科、人才开发科、就业培训科</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32</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开展行政备案事项梳理、分类，深化告知承诺落实，确保“双告知”工作按照时间节点开展</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人才开发科等</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33</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加强事中事后综合监管</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制定年度事中事后监管重点任务清单，建立重点监督对象名录，健全监管规则和标准等</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劳动关</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系科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34</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加强对监管事项目录清单和“一单两库”动态管理，开展招用人员、劳动合同、工资报酬、社会保险费、劳务派遣用工等专项检查</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劳动关系科、就业培训科、人才开发科、局执法大队</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35</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持续优化政务服务事项</w:t>
            </w: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定期梳理办事指南，确保线上线下操作一致，积极推动微信版办事指南</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36</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提高我局已申请事项服务能级，在“减时间”“减跑动”“即办率”“全程网办率”“办件与事项关联度”等重要指标上持续挖潜</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37</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深化政务服务中心标准化建设</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落实综窗设置达到100%，提升无差别综合窗口比例。落实办事统一预约服务全覆盖，持续做好“上门办”“代办”等特殊群体便民服务措施。健全政务服务事项目录管理制度，持续做好事项管理系统动态维护，确保办事指南和业务手册要素清晰、完整、准确、易读</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就业促进中心（上海职介崇明分中心、堡镇分所、新海分所、东平分所）</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38</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优化线上线下帮办服务</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全面提升“一网通办”帮办服务响应速度和精准解决率，做到咨询电话接通率90%和解决率达到90%以上，定期发布微信帮办指南和办事介绍微视频。</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39</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持续推进领导干部、工作人员帮办服务，局主要领导每年开展帮办不少于1次，局领导班子其他成员每年开展帮办不少于2次。</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障科等</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局领导班子</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全年（每季度末上报）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40</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深化区就业促进中心（政务中心）帮办，设置帮办窗口和“办不成事反映窗口”，解决企业群众办事过程中遇到的疑难复杂问题。</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就业促进中心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41</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夯实“好差评”制度管理</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全面落实《崇明区政务服务“好差评”办理工作办法（试行）》，引导企业群众自主自愿参与评价，切实提高我局依申请项目的办件评价率和评价事项覆盖面。</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42</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切实提高服务态度和服务质量，杜绝差评件的产生。强化差评问题分析和整改，实施“差评”整改回头看，建立完善“差评”整改监督机制，提升政务服务满意度。</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43</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建强联络员和窗口队伍建设</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进一步完善责任机制，强化政务服务责任科室作用，选优配强局内部工作联络员</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44</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建强联络员和窗口队伍建设</w:t>
            </w: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加强人社服务窗口队伍建设，持续推进专项立功竞赛和人社技能练兵比武活动。深入开展人社系统作风整治专项行动和局风大讨论，积极组织工作人员参加区政务办组织的理念和行业规范教育。开展局系统十大窗口服务明星评选等引领活动</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45</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提升“两页”精准主动服务能级</w:t>
            </w: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持续推进人社系统惠企利民政策和服务的精准推送、智能匹配和精准兑现，提升精准化、主动化服务能级</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46</w:t>
            </w:r>
          </w:p>
        </w:tc>
        <w:tc>
          <w:tcPr>
            <w:tcW w:w="1348" w:type="dxa"/>
            <w:vMerge w:val="continue"/>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不断丰富“一人（企）一档”特色档案信息接入，及时将年度“和谐劳动关系达标企业”标签，接入企业档案</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劳动关系科等</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47</w:t>
            </w:r>
          </w:p>
        </w:tc>
        <w:tc>
          <w:tcPr>
            <w:tcW w:w="1348" w:type="dxa"/>
            <w:vMerge w:val="restart"/>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做优“随申办”移动端崇明旗舰店</w:t>
            </w: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规范人社系统移动端服务应用接入“随申办”APP，探索“随申办”崇明旗舰店中人社服务供给，筹划人社特色服务及主题专栏建设，以企业群众实际需求为导向，深入挖掘人社领域特色服务场景</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48</w:t>
            </w:r>
          </w:p>
        </w:tc>
        <w:tc>
          <w:tcPr>
            <w:tcW w:w="1348" w:type="dxa"/>
            <w:vMerge w:val="continue"/>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建立崇明公共招聘线上平台并接入“”随申办app”</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区就业促进中心</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10月底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49</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持续强化平台基础能力</w:t>
            </w:r>
          </w:p>
        </w:tc>
        <w:tc>
          <w:tcPr>
            <w:tcW w:w="3812"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持续优化“一网通办”区级事项库，健全政务服务事项动态管理机制，完善办事指南动态调整更新机制。拓展更多区级依申请公共服务事项接入“一网通办”，大力提升办件信息与政务服务事项的关联比例。持续提升全程网办能力，推动更多人社公共服务事项实现“不见面”办理</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50</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不断拓展数据应用场景</w:t>
            </w: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left"/>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进一步推进电子证照、电子档案等在政务服务领域的广泛应用，增强操作易用性和用户体验度。拓展电子签名和电子印章在政务服务及个人和企业日常活动中的应用，推进政务服务办理过程全程“无纸化”，推广“办结即归档”模式，减轻一线窗口工作人员负担</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743"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51</w:t>
            </w:r>
          </w:p>
        </w:tc>
        <w:tc>
          <w:tcPr>
            <w:tcW w:w="1348"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切实加强数据安全保障</w:t>
            </w:r>
          </w:p>
        </w:tc>
        <w:tc>
          <w:tcPr>
            <w:tcW w:w="3812" w:type="dxa"/>
            <w:vAlign w:val="top"/>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both"/>
              <w:textAlignment w:val="auto"/>
              <w:outlineLvl w:val="9"/>
              <w:rPr>
                <w:rFonts w:hint="default"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配合区政务办、区大数据中心开展数据安全常态化监测，加强局各部门信息化资产梳理和动态管理，防止数据篡改和泄露，加强重要数据保护</w:t>
            </w:r>
          </w:p>
        </w:tc>
        <w:tc>
          <w:tcPr>
            <w:tcW w:w="1620"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eastAsia" w:eastAsia="仿宋_GB2312" w:cs="仿宋_GB2312"/>
                <w:sz w:val="22"/>
                <w:szCs w:val="22"/>
                <w:highlight w:val="none"/>
                <w:vertAlign w:val="baseline"/>
                <w:lang w:val="en-US" w:eastAsia="zh-CN"/>
              </w:rPr>
            </w:pPr>
            <w:r>
              <w:rPr>
                <w:rFonts w:hint="eastAsia" w:eastAsia="仿宋_GB2312" w:cs="仿宋_GB2312"/>
                <w:sz w:val="22"/>
                <w:szCs w:val="22"/>
                <w:highlight w:val="none"/>
                <w:vertAlign w:val="baseline"/>
                <w:lang w:val="en-US" w:eastAsia="zh-CN"/>
              </w:rPr>
              <w:t>社会保</w:t>
            </w:r>
          </w:p>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障科</w:t>
            </w:r>
          </w:p>
        </w:tc>
        <w:tc>
          <w:tcPr>
            <w:tcW w:w="1335" w:type="dxa"/>
            <w:vAlign w:val="center"/>
          </w:tcPr>
          <w:p>
            <w:pPr>
              <w:pStyle w:val="6"/>
              <w:keepNext w:val="0"/>
              <w:keepLines w:val="0"/>
              <w:pageBreakBefore w:val="0"/>
              <w:widowControl w:val="0"/>
              <w:kinsoku/>
              <w:wordWrap/>
              <w:overflowPunct/>
              <w:topLinePunct w:val="0"/>
              <w:autoSpaceDE/>
              <w:autoSpaceDN/>
              <w:bidi w:val="0"/>
              <w:adjustRightInd/>
              <w:snapToGrid w:val="0"/>
              <w:spacing w:line="240" w:lineRule="auto"/>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各科室、部门</w:t>
            </w:r>
          </w:p>
        </w:tc>
        <w:tc>
          <w:tcPr>
            <w:tcW w:w="1350" w:type="dxa"/>
            <w:vAlign w:val="center"/>
          </w:tcPr>
          <w:p>
            <w:pPr>
              <w:pStyle w:val="6"/>
              <w:keepNext w:val="0"/>
              <w:keepLines w:val="0"/>
              <w:pageBreakBefore w:val="0"/>
              <w:widowControl w:val="0"/>
              <w:kinsoku/>
              <w:wordWrap/>
              <w:overflowPunct/>
              <w:topLinePunct w:val="0"/>
              <w:autoSpaceDE/>
              <w:autoSpaceDN/>
              <w:bidi w:val="0"/>
              <w:adjustRightInd/>
              <w:snapToGrid w:val="0"/>
              <w:ind w:left="0" w:leftChars="0" w:firstLine="0" w:firstLineChars="0"/>
              <w:jc w:val="center"/>
              <w:textAlignment w:val="auto"/>
              <w:outlineLvl w:val="9"/>
              <w:rPr>
                <w:rFonts w:hint="default" w:ascii="仿宋_GB2312" w:hAnsi="仿宋_GB2312" w:eastAsia="仿宋_GB2312" w:cs="仿宋_GB2312"/>
                <w:kern w:val="2"/>
                <w:sz w:val="22"/>
                <w:szCs w:val="22"/>
                <w:highlight w:val="none"/>
                <w:vertAlign w:val="baseline"/>
                <w:lang w:val="en-US" w:eastAsia="zh-CN" w:bidi="ar-SA"/>
              </w:rPr>
            </w:pPr>
            <w:r>
              <w:rPr>
                <w:rFonts w:hint="eastAsia" w:eastAsia="仿宋_GB2312" w:cs="仿宋_GB2312"/>
                <w:sz w:val="22"/>
                <w:szCs w:val="22"/>
                <w:highlight w:val="none"/>
                <w:vertAlign w:val="baseline"/>
                <w:lang w:val="en-US" w:eastAsia="zh-CN"/>
              </w:rPr>
              <w:t>全年</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E7572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2"/>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1"/>
    <w:unhideWhenUsed/>
    <w:uiPriority w:val="99"/>
    <w:pPr>
      <w:tabs>
        <w:tab w:val="center" w:pos="4153"/>
        <w:tab w:val="right" w:pos="8306"/>
      </w:tabs>
      <w:snapToGrid w:val="0"/>
      <w:jc w:val="left"/>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6">
    <w:name w:val="正文空2字"/>
    <w:basedOn w:val="7"/>
    <w:qFormat/>
    <w:uiPriority w:val="99"/>
    <w:pPr>
      <w:widowControl w:val="0"/>
      <w:snapToGrid w:val="0"/>
      <w:spacing w:line="560" w:lineRule="exact"/>
      <w:ind w:firstLine="640" w:firstLineChars="200"/>
    </w:pPr>
    <w:rPr>
      <w:rFonts w:ascii="仿宋_GB2312" w:hAnsi="仿宋_GB2312" w:eastAsia="宋体" w:cs="仿宋_GB2312"/>
      <w:lang w:val="zh-TW"/>
    </w:rPr>
  </w:style>
  <w:style w:type="paragraph" w:customStyle="1" w:styleId="7">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2023-06-07T10:50:07Z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